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bookmarkStart w:id="0" w:name="_GoBack"/>
      <w:bookmarkEnd w:id="0"/>
      <w:r w:rsidRPr="00D55E1D">
        <w:rPr>
          <w:rFonts w:ascii="Times New Roman" w:hAnsi="Times New Roman"/>
          <w:b w:val="0"/>
          <w:i w:val="0"/>
          <w:color w:val="000000"/>
        </w:rPr>
        <w:t>Статьей 159.6. Уголовного кодекса Российской Федерации установлена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Также предусмотрена ответственность за мошенничество в сфере компьютерной информации, совершенное группой лиц по предварительному сговору, с причинением значительного ущерба гражданину; лицом с использованием своего служебного положения; в крупном размере, с банковского счета, а равно в отношении электронных денежных средств; совершенные организованной группой либо в особо крупном размере.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Крупным размером признается стоимость имущества, превышающая один миллион пятьсот тысяч рублей, а особо крупным - шесть миллионов рублей. Значительный ущерб гражданину определяется с учетом его имущественного положения, но не может составлять менее пяти тысяч рублей.</w:t>
      </w:r>
    </w:p>
    <w:p w:rsidR="00D55E1D" w:rsidRP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рублей, максимальное - в виде лишения свободы на срок до 10 лет.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A54F6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06AAB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2020-12-07T13:42:00Z</cp:lastPrinted>
  <dcterms:created xsi:type="dcterms:W3CDTF">2020-12-08T06:43:00Z</dcterms:created>
  <dcterms:modified xsi:type="dcterms:W3CDTF">2020-12-08T06:43:00Z</dcterms:modified>
</cp:coreProperties>
</file>